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38"/>
        <w:tblW w:w="500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339"/>
        <w:gridCol w:w="17"/>
      </w:tblGrid>
      <w:tr w:rsidR="009D1ED2" w:rsidRPr="009D1ED2" w:rsidTr="00C84122">
        <w:trPr>
          <w:tblCellSpacing w:w="0" w:type="dxa"/>
        </w:trPr>
        <w:tc>
          <w:tcPr>
            <w:tcW w:w="4991" w:type="pct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C84122" w:rsidRDefault="009D1ED2" w:rsidP="00C84122">
            <w:pPr>
              <w:spacing w:before="75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32"/>
                <w:szCs w:val="32"/>
                <w:lang w:eastAsia="pt-BR"/>
              </w:rPr>
            </w:pPr>
            <w:r w:rsidRPr="00C84122">
              <w:rPr>
                <w:rFonts w:ascii="Tahoma" w:eastAsia="Times New Roman" w:hAnsi="Tahoma" w:cs="Tahoma"/>
                <w:b/>
                <w:bCs/>
                <w:color w:val="666666"/>
                <w:sz w:val="32"/>
                <w:szCs w:val="32"/>
                <w:lang w:eastAsia="pt-BR"/>
              </w:rPr>
              <w:t>ANCIB</w:t>
            </w:r>
          </w:p>
          <w:p w:rsidR="009D1ED2" w:rsidRPr="00C84122" w:rsidRDefault="009D1ED2" w:rsidP="00C84122">
            <w:pPr>
              <w:spacing w:before="75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16"/>
                <w:szCs w:val="16"/>
                <w:lang w:eastAsia="pt-BR"/>
              </w:rPr>
            </w:pPr>
          </w:p>
          <w:p w:rsidR="00C84122" w:rsidRDefault="009D1ED2" w:rsidP="00C84122">
            <w:pPr>
              <w:spacing w:before="75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 xml:space="preserve"> REGIMENTO</w:t>
            </w:r>
          </w:p>
          <w:p w:rsidR="009D1ED2" w:rsidRPr="009D1ED2" w:rsidRDefault="00C84122" w:rsidP="00C84122">
            <w:pPr>
              <w:spacing w:before="75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C84122">
              <w:rPr>
                <w:rFonts w:ascii="Tahoma" w:eastAsia="Times New Roman" w:hAnsi="Tahoma" w:cs="Tahoma"/>
                <w:bCs/>
                <w:color w:val="666666"/>
                <w:sz w:val="22"/>
                <w:szCs w:val="22"/>
                <w:lang w:eastAsia="pt-BR"/>
              </w:rPr>
              <w:t>(no site da ANCIB EM 16.08.2013)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C8412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9D1ED2">
      <w:pPr>
        <w:rPr>
          <w:rFonts w:ascii="Times New Roman" w:eastAsia="Times New Roman" w:hAnsi="Times New Roman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b/>
          <w:bCs/>
          <w:color w:val="666666"/>
          <w:sz w:val="27"/>
          <w:szCs w:val="27"/>
          <w:lang w:eastAsia="pt-BR"/>
        </w:rPr>
        <w:t>Introdução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Este documento apresenta o Regimento Interno da Associação Nacional de Pesquisa e Pós-Graduação em Ciência da Informação e Biblioteconomia - ANCIB, na sua íntegra.</w:t>
      </w: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50"/>
        <w:gridCol w:w="12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</w:p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I - Natureza e Objetivos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9D1ED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1° - A Associação Nacional de Pesquisa e Pós-Graduação em Ciência da Informação e Biblioteconomia é uma sociedade civil sem fins lucrativos, destinada a congregar instituições, pesquisadores, estudantes de pós-graduação e profissionais egressos dos cursos de pós-graduação das áreas de Ciência da Informação e Biblioteconomia. É regida por Estatuto, aprovado em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Geral, bem como por este Regimento Interno e demais atos baixados por sua Diretoria Executiva.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2° - Para fins de relações e publicações, a Associação Nacional de Pesquisa e Pós-Graduação em Ciência da Informação e Biblioteconomia utilizará a sigla ANCIB.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3° - A ANCIB tem os seguintes objetivos: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 - promover, através do aproveitamento de todos os meios científicos, tecnológicos e institucionais ao seu alcance, o desenvolvimento da Ciência da Informação;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 - promover o conhecimento da realidade de informação no país e o reconhecimento da ação dos profissionais envolvidos com estudos e pesquisas em informação e tecnologia da informação;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III - aprofundar os estudos científicos que se relacionam ao fenômeno da informação no indivíduo e na sociedade atuando no sentido de ampliar o fomento das investigações e estudos, visando a contribuir para o desempenho de novas técnicas, metodologias e normas para a solução dos problemas relacionados à informação em todos os seus níveis de 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IV - incentivar o treinamento de especialistas nas práticas, docência e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conceitualização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da sua área de interesse.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4° - Para atingir seus objetivos a ANCIB deverá atuar nas ações de: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 - fomentar, ampliar e fortalecer o intercâmbio científico entre os que trabalham na área de Ciência da Informação e demais estudiosos dos problemas informacionais;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 - fomentar encontros, congressos e conferências, publicar trabalhos, manter contato com entidades congêneres nacionais e estrangeiras, de modo a favorecer a troca de observações e experiências entre seus membros;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III - promover a disseminação do conhecimento da área através de diferentes veículos de comunicação.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lastRenderedPageBreak/>
        <w:t>Artigo 5° - O prazo de duração da ANCIB é indeterminado.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§ Único - A extinção da ANCIB somente se dará nos casos previstos no Código Civil ou pela decisão da maioria de 2/3 (dois terços) de seus associados, que estiverem em pleno gozo de seus direitos, presentes em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para este fim convocada especialmente.</w:t>
      </w: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45"/>
        <w:gridCol w:w="17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II – Da Sede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9D1ED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6° - A sede e o fórum da ANCIB serão situados na cidade onde vive e reside seu Presidente.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7° - As disposições que regulam este item estão especificadas no Capitulo III do Estatuto da ANCIB.</w:t>
      </w:r>
    </w:p>
    <w:p w:rsidR="009D1ED2" w:rsidRPr="009D1ED2" w:rsidRDefault="009D1ED2" w:rsidP="009D1ED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54"/>
        <w:gridCol w:w="8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III - Dos Deveres e Direitos dos Sócios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9D1ED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8° - São deveres dos associados: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I - pagar pontualmente a contribuição anual, cujo valor é fixado pela Diretoria Executiva;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 - colaborar com os programas estabelecidos pela ANCIB para o cumprimento de seus objetivos;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III - exercer cargos para quais tenham sido eleitos ou atuar nas comissões para as quais tenham sido indicados, de maneira a manter a dignidade da associação;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§1° - As contribuições anuais dos membros deverão ser pagas até o último dia do mês de março de cada ano, a partir do qual o membro pagará a contribuição anual acrescida de multa, definida pela Diretoria Executiva.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§ 2° - Será considerado membro devedor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aquele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que não efetuar o devido pagamento até 31 de dezembro de cada ano.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9° - Não será considerado membro devedor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aquele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que obtiver isenção do pagamento da contribuição anual, concedida pela Diretoria Executiva.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10° - São direitos dos Associados, desde que estejam quites com a Tesouraria: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 - participar, com voz e voto, das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assembléias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gerais ordinárias e extraordinárias;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II - exercer o direito de eleição nas condições estabelecidas por este regimento e pelos regulamentos aprovados pela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III - serem informados pela Diretoria sobre qualquer ponto da administração financeira da ANCIB sempre que solicitarem.</w:t>
      </w: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55"/>
        <w:gridCol w:w="7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IV - Da Admissão e do Desligamento dos Associados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9D1ED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11° - A admissão de associados ocorrerá mediante a apresentação de proposta de admissão assinada por dois sócios individuais, acompanhada de justificativa apresentada por um deles, na qual fique caracterizado o interesse do proponente pelos estudos, bem como sua contribuição no campo da Ciência da Informação;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lastRenderedPageBreak/>
        <w:t>Artigo 12°- Aprovada a admissão, de imediato o associado passará a gozar dos direitos bem como responder pelos deveres estipulados neste Regimento.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Único - Não serão feitas admissões de sócios no período que anteceder a 60 (sessenta) dias daquele previsto para a realização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na qual serão realizadas eleições.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13°- A Diretoria deliberará sobre o desligamento dos associados que deixarem de cumprir por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2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(dois) anos consecutivos suas responsabilidade financeiras para com a associação.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14° - Compete à Diretoria efetuar o desligamento do associado.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§1° - A Diretoria comunicará ao interessado com, no mínimo, 60 (sessenta) dias de antecedência em relação à data da reunião, os fatos geradores da proposta de desligamento;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§ 2° - As decisões da Diretoria referentes ao desligamento de associados serão tomadas por maioria absoluta de votos de seus membros das quais caberá recurso à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Geral.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15° - Cessadas as causas que motivam o desligamento do associado, poderá ele ser readmitido, desde que sua nova admissão seja aprovada pela Diretoria e um terço dos membros do Conselho Consultivo.</w:t>
      </w:r>
    </w:p>
    <w:p w:rsidR="009D1ED2" w:rsidRPr="009D1ED2" w:rsidRDefault="009D1ED2" w:rsidP="009D1ED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46"/>
        <w:gridCol w:w="16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V – Patrimônio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9D1ED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16° - O patrimônio da ANCIB será constituído dos seguintes bens: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 - bens móveis e imóveis adquiridos ou que vierem a ser adquiridos;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II - doações, legados,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auxilios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, subvenções e contribuições de qualquer natureza, proporcionados por pessoas físicas ou jurídicas;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III - contribuições dos associados;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IV - renda de bens, de qualquer espécie.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§ 1° - Os recursos financeiros da ANCIB poderão ser aplicados no mercado de capitais visando suas ampliações ou manutenção do respectivo poder de compra;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§ 2° - Os bens patrimoniais da ANCIB só poderão ser alienados ou doados mediante autorização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Geral;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§ 3. - No caso de dissolução da associação, esses bens serão destinados às instituições congêneres por decisão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Geral, aprovada por maioria absoluta.</w:t>
      </w:r>
    </w:p>
    <w:p w:rsidR="009D1ED2" w:rsidRPr="009D1ED2" w:rsidRDefault="009D1ED2" w:rsidP="009D1ED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49"/>
        <w:gridCol w:w="13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proofErr w:type="gramStart"/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VI</w:t>
            </w:r>
            <w:proofErr w:type="gramEnd"/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 xml:space="preserve"> – Da Organização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17° - São órgãos permanentes da ANCIB: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 -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II - Diretoria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III - Conselho Fiscal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IV - Conselho Consultivo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lastRenderedPageBreak/>
        <w:t>§ Único - O exercício de qualquer cargo eletivo na estrutura organizacional da ANCIB não será remunerado a qualquer título.</w:t>
      </w:r>
    </w:p>
    <w:p w:rsidR="009D1ED2" w:rsidRPr="009D1ED2" w:rsidRDefault="009D1ED2" w:rsidP="009D1ED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51"/>
        <w:gridCol w:w="11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 xml:space="preserve">CAPÍTULO VII - Da </w:t>
            </w:r>
            <w:proofErr w:type="spellStart"/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Assembléia</w:t>
            </w:r>
            <w:proofErr w:type="spellEnd"/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 xml:space="preserve"> Geral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9D1ED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18° - 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é o órgão máximo de deliberação da ANCIB, sendo constituída pelo conjunto de seus associados em gozo de seus direitos estatutários.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19° - 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reunir-se-á ordinariamente, a cada dois anos, quando dos encontros nacionais de seus associados, e extraordinariamente, sempre que convocada pela Diretoria ou por solicitação de, pelo menos, 25% dos associados no gozo de seus direitos.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§ Único - O edital de convocação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será afixado nos Cursos de Pós-Graduação em Ciência da Informação filiados à ANCIB e enviado, por via postal ou por meio eletrônico, a todos os associados, com pelo menos 30 (trinta) dias de antecedência.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20° - As reuniões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são realizadas, em primeira convocação, com a presença da maioria absoluta dos membros, e em segunda convocação, decorrida uma hora da primeira, com qualquer número de membros.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21° - São funções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 - aprovar a política geral da associação, de conformidade com o Estatuto;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II - aprovar os programas gerais de trabalho;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III - aprovar a contribuição e multa de que trata o Artigo 8° deste Regimento;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IV - aprovar o relatório da Diretoria;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V - aprovar as contas da ANCIB apresentadas pela Diretoria e acompanhadas do parecer do Conselho Fiscal;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VI - homologar a eleição e empossar a Diretoria e o Conselho Fiscal bem como seus respectivos suplentes;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VII - aprovar reformas no Estatuto;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VIII - aprovar medidas necessárias à realização dos fins da associação;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IX - conceder títulos honoríficos;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X - autorizar e estabelecer as formas de alienação e doação de bens patrimoniais;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XI - deliberar sobre a extinção da ANCIB, bem como sobre o destino de seus bens, em conformidade com o Art. 17, § 20 e § 30.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§ Único - A aprovação das propostas durante as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Assembléias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Gerais será por metade mais um dos associados presentes, exceto no caso do inciso XI, que será metade mais um dos sócios em pleno gozo de seus direitos.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 xml:space="preserve">Artigo 22° - Instalada 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pelo Presidente da ANCIB, de imediato será por ela escolhido um presidente e um secretário ad hoc para conduzir os trabalhos.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23° - Somente os associados ativos que estejam no gozo de seus direitos poderão participar das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assembléias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gerais.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24° - Em todas as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assembléias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gerais será elaborada uma ata, que será firmada por quem as tenha presidido e pelo secretário ad hoc.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§ Único - A lista de presença obtida durante a realização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fará parte integrante da ata nela lavrada.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lastRenderedPageBreak/>
        <w:t xml:space="preserve">Artigo 25° - Os membros da Diretoria e do Conselho Fiscal não terão direito a voto nas deliberações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relativas ao balanço econômico e financeiro e nem naquelas referentes às suas responsabilidades.</w:t>
      </w:r>
    </w:p>
    <w:p w:rsidR="009D1ED2" w:rsidRPr="009D1ED2" w:rsidRDefault="009D1ED2" w:rsidP="009D1ED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48"/>
        <w:gridCol w:w="14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VIII- Da Diretoria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9D1ED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26° - A Diretoria será composta de cinco membros e será responsável pela direção e realização dos programas da associação e do cumprimento das decisões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 xml:space="preserve">Artigo 27° - São os seguintes os cargos da Diretoria: Presidente, Vice-presidente, Secretário Geral, Primeiro Secretário, Tesoureiro, todos obrigatoriamente membros da ANCIB, eleitos para um mandato de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3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(três) anos, a contar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Ordinária de eleição, permitida uma única recondução consecutiva.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28° - Tratando-se de uma associação nacional, em caso de impossibilidade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se reunir na data prevista para a eleição da nova Diretoria, o mandato da Diretoria em exercício fica automaticamente prorrogado, até que se reúna 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29° - A prorrogação de que fala o artigo anterior não poderá ser superior a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4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anos, quando se realizará uma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Extraordinária na sede da ANCIB, até o mês de março do ano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subseqüente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ao da eleição, para o fim específico de uma nova eleição.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30° - DAS ELEIÇÕES DA DIRETORIA: A eleição da Diretoria dar-se-á conforme o disposto no Estatuto e no Regimento, atendendo as exigências de que: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 - somente serão considerados aptos para votar nas eleições para a Diretoria os sócios que estejam em dia com os pagamentos devidos à associação e tenham solicitado sua inclusão como membros da associação com pelo menos sessenta dias de antecedência a contar da data da eleição;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II - as inscrições poderão ser por nomes ou chapas para todos os cargos; é indispensável que o candidato a Presidente indique uma chapa discriminando os nomes para votação: do Presidente, Vice-Presidente, Secretário Geral, Primeiro Secretário e Tesoureiro; do Conselho Consultivo, do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Conselho Fiscal e Representantes Regionais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III - sejam divulgadas as inscrições, bem como breve informe sobre os candidatos e seus programas de atuação para o próximo triênio, recebidos até 30 (trinta) dias antes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a que se refere o inciso anterior;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IV - o voto deverá ser exercido em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Geral, podendo ser permitido o voto por via postal, desde que fixados os procedimentos necessários para que se mantenha o caráter secreto do voto e a data limite de postagem. A votação postal deverá ser referendada em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V - o processo eleitoral será conduzido por um Comitê Eleitoral composto de 03 (três) membros designados pela Diretoria e aprovados pela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onde se realizará a votação. Do Comitê Eleitoral não podem participar membros da diretoria atual ou candidatos concorrentes às eleições naquele exercício.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§ Único - Serão considerados eleitos os candidatos que obtiverem a maioria simples dos votos.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31° - O Presidente representará a associação ativa e passivamente, em juízo e fora dela, não respondendo, contudo, com seus bens pessoais, pelos débitos da entidade.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lastRenderedPageBreak/>
        <w:t>Artigo 32° - Compete à Diretoria: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 - elaborar as políticas e programas da associação e assegurar suas execuções;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 - aprovar as propostas de admissão e proceder à eliminação de sócios, levando ao conhecimento dos demais membros da ANCIB;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III - cuidar para que, dentro do possível, a associação participe das atividades e eventos nacionais e internacionais que estejam relacionadas com seus objetivos e políticas;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IV - realizar operações financeiras, especialmente as previstas no § 1o do Artigo 16;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V - convocar as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assembléias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gerais ordinárias e extraordinárias;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VI - dar cumprimento à convocação de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solicitada pelos associados conforme previsto no Artigo 20;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VII - constituir comitês permanentes ou transitórios dedicados às diferentes atividades da associação, bem como designar seus coordenadores;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VIII - interpretar e regulamentar, quando necessário, este Estatuto;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IX - contratar e dispensar pessoal e serviços de acordo com as necessidades;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X - apresentar ao Conselho Fiscal prestação de contas referente ao exercício anterior até 31 (trinta e um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)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de julho de cada ano;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XI- tomar todas aquelas medidas consideradas indispensáveis para o funcionamento da associação;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XII - indicar os membros do Conselho Consultivo para eleição;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XIII - apresentar à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as propostas de alteração dos Estatutos;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XIV - informar aos associados, pelo menos anualmente, as atividades da Diretoria;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XV - resolver os casos omissos no Estatuto e neste Regimento.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33° - A Diretoria reunir-se-á sempre que possível mediante convocação do Presidente.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34° - No caso de falta ou impedimento temporário ou permanente, o Presidente será substituído pelo Vice-presidente e sucessivamente, pela ordem, pelos demais membros da Diretoria.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§ Único - O Presidente poderá delegar a sua representação, para assuntos específicos, a qualquer um dos membros da Diretoria, Conselho Consultivo e excepcionalmente a sócios efetivos.</w:t>
      </w:r>
    </w:p>
    <w:p w:rsidR="00C84122" w:rsidRPr="00C84122" w:rsidRDefault="00C84122" w:rsidP="00C8412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48"/>
        <w:gridCol w:w="14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IX - Da Presidência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C8412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35° - São funções do Presidente: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lastRenderedPageBreak/>
        <w:t>I - representar a associação perante organismos, associações ou entidades nacionais ou internacionais bem como perante autoridades oficiais ou particulares em todos os atos nos quais intervenha a associação;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II - convocar as reuniões da Diretoria bem como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presidí-las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nos termos deste regimento;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III - informar à Diretoria atos ou contratos que tenha assinado em nome da associação.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36° - O Presidente da Associação será membro nato do Conselho Consultivo.</w:t>
      </w:r>
    </w:p>
    <w:p w:rsidR="00C84122" w:rsidRPr="00C84122" w:rsidRDefault="00C84122" w:rsidP="00C8412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50"/>
        <w:gridCol w:w="12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X - Da Secretaria Geral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C8412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37° - A associação terá um Secretário que cuidará dos seus assuntos administrativos e dará apoio executivo ao Presidente.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38° - O Secretário goza das faculdades e mandatos que lhe permitam desempenhar suas funções conforme poderes que lhe forem delegados pela Diretoria e preparar o relatório da Diretoria a ser apresentado bienalmente à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Geral.</w:t>
      </w: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48"/>
        <w:gridCol w:w="14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XI - Da Secretaria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C8412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39° - São funções do Secretário: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 - cumprir as resoluções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e da Diretoria;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 - propor à Diretoria as medidas necessárias para melhor organização da associação;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III - preparar o relatório da Diretoria a ser apresentado bienalmente à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IV - preparar e assinar as atas das reuniões da Diretoria bem como os demais documentos da associação, providenciando a devida guarda dos mesmos;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V - cumprir as demais funções que lhe sejam atribuídas pela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Geral, Diretoria, Conselhos e Comitês constituídos no âmbito da Associação.</w:t>
      </w:r>
    </w:p>
    <w:p w:rsidR="00C84122" w:rsidRPr="00C84122" w:rsidRDefault="00C84122" w:rsidP="00C8412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48"/>
        <w:gridCol w:w="14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XII - Da Tesouraria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C8412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40° - A associação terá um Tesoureiro que cuidará da parte financeira e econômica da mesma.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41 ° - O Tesoureiro goza das faculdades e mandatos que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Ihe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permitam desempenhar suas funções conforme poderes que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Ihe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forem delegados pela Diretoria.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42° - São funções do Tesoureiro em exercício: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 - cuidar do recebimento da aplicação dos montantes recebidos e dos gastos da associação, mediante autorização da Diretoria;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 - elaborar informes periódicos à Diretoria sobre suas tarefas bem como sobre o estado das finanças da associação;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III - preparar os informes necessários à avaliação do Conselho Fiscal;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lastRenderedPageBreak/>
        <w:t>IV - ordenar os gastos que estejam autorizados pela Diretoria bem como aqueles previstos no orçamento da associação;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V - autenticar com sua firma todos os documentos relativos a receitas e despesas da associação, bem como assinar com o Presidente documentos bancários de movimentação de fundos;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VI - elaborar anualmente o relatório financeiro da associação.</w:t>
      </w:r>
    </w:p>
    <w:p w:rsidR="00C84122" w:rsidRPr="00C84122" w:rsidRDefault="00C84122" w:rsidP="00C8412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51"/>
        <w:gridCol w:w="11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XIII - Do Conselho Fiscal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C8412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43° - Para exercer o controle permanente sobre os fundos e gastos da associação, existirá um Conselho Fiscal integrado por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3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(três) membros que serão eleitos pela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44° - A Eleição do Conselho Fiscal será simultânea com a da Diretoria da associação, e será desenvolvida conforme o regulamento eleitoral.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45° - Os membros do Conselho Fiscal poderão solicitar qualquer tipo de informação sobre a utilização dos fundos da associação, a qual deverá ser fornecida pelo Tesoureiro através da Diretoria.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46° - Para o cumprimento das suas funções, o Conselho Fiscal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receberá,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da Diretoria, um informe anual sobre as finanças da associação.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§ Único - Quando julgar conveniente o Conselho Fiscal poderá recomendar à Diretoria medidas pertinentes ao desempenho financeiro da associação.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47° - O Conselho Fiscal deverá apresentar um informe à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Geral, em suas reuniões bianuais ordinárias, sobre as finanças da associação.</w:t>
      </w:r>
    </w:p>
    <w:p w:rsidR="00C84122" w:rsidRPr="00C84122" w:rsidRDefault="00C84122" w:rsidP="00C8412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52"/>
        <w:gridCol w:w="10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XIV - Do Conselho Consultivo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C8412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48° - O Conselho Consultivo é o órgão de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assesoria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da Diretoria da ANCIB.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49° - São atribuições do Conselho Consultivo: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I - opinar sobre as diretrizes da associação a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médio e longo prazos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 - apoiar a Diretoria da ANCIB, em suas relações com a comunidade científica nacional e internacional;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III - opinar sobre qualquer quesito que a Diretoria lhe submeter.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50° - O mandato dos membros do Conselho Consultivo será o mesmo da Diretoria, permitida uma recondução consecutiva.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51° - O Conselho Consultivo será composto por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7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(sete) membros indicados pela Diretoria, sendo o Presidente em exercício membro nato do Conselho Consultivo.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52° - O Presidente do Conselho Consultivo será o presidente em exercício da associação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lastRenderedPageBreak/>
        <w:t>Artigo 53° - A reunião do Conselho Consultivo, convocada pela Diretoria, ocorrerá com pelo menos metade de seus membros mais um.</w:t>
      </w:r>
    </w:p>
    <w:p w:rsidR="00C84122" w:rsidRPr="00C84122" w:rsidRDefault="00C84122" w:rsidP="00C8412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53"/>
        <w:gridCol w:w="9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XV - Das Representações Regionais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C8412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Artigo 54° - A fim de possibilitar a execução de seus objetivos e programas em nível nacional a ANCIB terá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4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(quatro) representações regionais, eleitas com cada nova Diretoria, a saber: Representação Regional Norte/Nordeste Representação Regional Centro-Oeste Representação Regional Sudeste Representação Regional Sul</w:t>
      </w:r>
    </w:p>
    <w:p w:rsid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$ Único - Caberá a cada representação atuar regionalmente para desenvolver a ANCIB dentro dos objetivos propostos no Estatuto e no Regimento e para a efetivação do programa da Diretoria.</w:t>
      </w:r>
    </w:p>
    <w:p w:rsidR="00C84122" w:rsidRPr="00C84122" w:rsidRDefault="00C84122" w:rsidP="00C84122">
      <w:pPr>
        <w:pStyle w:val="SemEspaamento"/>
        <w:rPr>
          <w:lang w:eastAsia="pt-BR"/>
        </w:rPr>
      </w:pPr>
    </w:p>
    <w:tbl>
      <w:tblPr>
        <w:tblW w:w="4950" w:type="pct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250"/>
        <w:gridCol w:w="12"/>
      </w:tblGrid>
      <w:tr w:rsidR="009D1ED2" w:rsidRPr="009D1ED2" w:rsidTr="009D1ED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</w:pPr>
            <w:r w:rsidRPr="009D1ED2">
              <w:rPr>
                <w:rFonts w:ascii="Tahoma" w:eastAsia="Times New Roman" w:hAnsi="Tahoma" w:cs="Tahoma"/>
                <w:b/>
                <w:bCs/>
                <w:color w:val="666666"/>
                <w:sz w:val="27"/>
                <w:szCs w:val="27"/>
                <w:lang w:eastAsia="pt-BR"/>
              </w:rPr>
              <w:t>CAPÍTULO XVI - Disposições Gerais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D1ED2" w:rsidRPr="009D1ED2" w:rsidRDefault="009D1ED2" w:rsidP="009D1ED2">
            <w:pPr>
              <w:spacing w:before="75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9D1ED2" w:rsidRPr="009D1ED2" w:rsidRDefault="009D1ED2" w:rsidP="00C84122">
      <w:pPr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br/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55° - O exercício fiscal coincidirá com o ano civil.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56° - Em todas as instâncias da ANCIB, as decisões serão tomadas por maioria simples dos membros presentes, previamente convocados, salvo quando o Estatuto e o Regimento dispuseram de outra forma.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57° - Para consecução dos seus objetivos, a ANCIB poderá celebrar contratos, convênios e intercâmbios com organizações governamentais ou não governamentais, nacionais ou internacionais.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58° - Respeitada a legislação em vigor, a ANCIB poderá receber auxílios, sob a forma de doação ou empréstimo.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59° - As rendas patrimoniais e as receitas da ANCIB serão destinadas ao desenvolvimento de suas atividades de acordo com o que estabelece o Estatuto da associação;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Artigo 60° - Qualquer dúvida suscitada pela aplicação deste Regimento será decidida pela Diretoria ouvindo, quando necessário, o Conselho Consultivo da Entidade.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Rio de Janeiro, </w:t>
      </w:r>
      <w:proofErr w:type="gram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5</w:t>
      </w:r>
      <w:proofErr w:type="gram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de abril de 1998.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Este Regimento é aprovado pela Diretoria da Associação "ad-referendum" da </w:t>
      </w:r>
      <w:proofErr w:type="spellStart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>Assembléia</w:t>
      </w:r>
      <w:proofErr w:type="spellEnd"/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t xml:space="preserve"> Geral Ordinária.</w:t>
      </w:r>
    </w:p>
    <w:p w:rsidR="009D1ED2" w:rsidRPr="009D1ED2" w:rsidRDefault="009D1ED2" w:rsidP="009D1ED2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2"/>
          <w:szCs w:val="22"/>
          <w:lang w:eastAsia="pt-BR"/>
        </w:rPr>
      </w:pPr>
      <w:r w:rsidRPr="009D1ED2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pt-BR"/>
        </w:rPr>
        <w:t>Aldo de Albuquerque Barreto</w:t>
      </w:r>
      <w:r w:rsidRPr="009D1ED2">
        <w:rPr>
          <w:rFonts w:ascii="Tahoma" w:eastAsia="Times New Roman" w:hAnsi="Tahoma" w:cs="Tahoma"/>
          <w:color w:val="000000"/>
          <w:sz w:val="22"/>
          <w:szCs w:val="22"/>
          <w:lang w:eastAsia="pt-BR"/>
        </w:rPr>
        <w:br/>
        <w:t>Presidente</w:t>
      </w:r>
    </w:p>
    <w:p w:rsidR="001A3675" w:rsidRDefault="001A3675"/>
    <w:sectPr w:rsidR="001A3675" w:rsidSect="00C84122">
      <w:pgSz w:w="11906" w:h="16838"/>
      <w:pgMar w:top="709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ED2"/>
    <w:rsid w:val="000536EF"/>
    <w:rsid w:val="000B0177"/>
    <w:rsid w:val="001A3675"/>
    <w:rsid w:val="0075494C"/>
    <w:rsid w:val="009D1ED2"/>
    <w:rsid w:val="00C84122"/>
    <w:rsid w:val="00CF17C0"/>
    <w:rsid w:val="00E3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emEspaamento"/>
    <w:qFormat/>
    <w:rsid w:val="0075494C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5494C"/>
    <w:pPr>
      <w:keepNext/>
      <w:keepLines/>
      <w:spacing w:after="240"/>
      <w:outlineLvl w:val="0"/>
    </w:pPr>
    <w:rPr>
      <w:b/>
      <w:sz w:val="22"/>
      <w:szCs w:val="22"/>
      <w:shd w:val="clear" w:color="auto" w:fill="FFFFFF"/>
      <w:lang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5494C"/>
    <w:pPr>
      <w:keepNext/>
      <w:spacing w:before="360" w:after="240" w:line="360" w:lineRule="auto"/>
      <w:outlineLvl w:val="1"/>
    </w:pPr>
    <w:rPr>
      <w:rFonts w:eastAsia="Times New Roman"/>
      <w:bCs/>
      <w:iCs/>
      <w:sz w:val="22"/>
      <w:szCs w:val="22"/>
      <w:lang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75494C"/>
    <w:pPr>
      <w:keepNext/>
      <w:spacing w:after="240" w:line="360" w:lineRule="auto"/>
      <w:outlineLvl w:val="2"/>
    </w:pPr>
    <w:rPr>
      <w:rFonts w:eastAsia="Times New Roman"/>
      <w:b/>
      <w:bCs/>
      <w:sz w:val="22"/>
      <w:szCs w:val="22"/>
      <w:lang/>
    </w:rPr>
  </w:style>
  <w:style w:type="paragraph" w:styleId="Ttulo4">
    <w:name w:val="heading 4"/>
    <w:aliases w:val="Referências,anexos e apêndices"/>
    <w:basedOn w:val="Ttulo1"/>
    <w:next w:val="Normal"/>
    <w:link w:val="Ttulo4Char"/>
    <w:uiPriority w:val="9"/>
    <w:unhideWhenUsed/>
    <w:qFormat/>
    <w:rsid w:val="0075494C"/>
    <w:pPr>
      <w:tabs>
        <w:tab w:val="center" w:pos="9072"/>
      </w:tabs>
      <w:spacing w:after="120" w:line="360" w:lineRule="auto"/>
      <w:ind w:left="1559" w:hanging="1559"/>
      <w:jc w:val="center"/>
      <w:textboxTightWrap w:val="allLines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494C"/>
    <w:pPr>
      <w:jc w:val="both"/>
    </w:pPr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75494C"/>
    <w:rPr>
      <w:b/>
      <w:sz w:val="22"/>
      <w:szCs w:val="22"/>
      <w:lang/>
    </w:rPr>
  </w:style>
  <w:style w:type="character" w:customStyle="1" w:styleId="Ttulo2Char">
    <w:name w:val="Título 2 Char"/>
    <w:link w:val="Ttulo2"/>
    <w:uiPriority w:val="9"/>
    <w:rsid w:val="0075494C"/>
    <w:rPr>
      <w:rFonts w:eastAsia="Times New Roman"/>
      <w:bCs/>
      <w:iCs/>
      <w:sz w:val="22"/>
      <w:szCs w:val="22"/>
      <w:lang/>
    </w:rPr>
  </w:style>
  <w:style w:type="character" w:customStyle="1" w:styleId="Ttulo3Char">
    <w:name w:val="Título 3 Char"/>
    <w:link w:val="Ttulo3"/>
    <w:uiPriority w:val="9"/>
    <w:rsid w:val="0075494C"/>
    <w:rPr>
      <w:rFonts w:eastAsia="Times New Roman"/>
      <w:b/>
      <w:bCs/>
      <w:sz w:val="22"/>
      <w:szCs w:val="22"/>
      <w:lang/>
    </w:rPr>
  </w:style>
  <w:style w:type="character" w:customStyle="1" w:styleId="Ttulo4Char">
    <w:name w:val="Título 4 Char"/>
    <w:aliases w:val="Referências Char,anexos e apêndices Char"/>
    <w:link w:val="Ttulo4"/>
    <w:uiPriority w:val="9"/>
    <w:rsid w:val="0075494C"/>
    <w:rPr>
      <w:b/>
      <w:sz w:val="22"/>
      <w:szCs w:val="22"/>
      <w:lang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5494C"/>
    <w:pPr>
      <w:shd w:val="clear" w:color="auto" w:fill="FFFFFF"/>
      <w:tabs>
        <w:tab w:val="right" w:leader="dot" w:pos="9072"/>
      </w:tabs>
      <w:spacing w:line="480" w:lineRule="auto"/>
      <w:ind w:left="1560" w:hanging="1560"/>
    </w:pPr>
    <w:rPr>
      <w:rFonts w:eastAsia="Times New Roman"/>
      <w:b/>
      <w:noProof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5494C"/>
    <w:pPr>
      <w:tabs>
        <w:tab w:val="right" w:leader="dot" w:pos="9061"/>
      </w:tabs>
      <w:spacing w:after="200" w:line="360" w:lineRule="auto"/>
    </w:pPr>
    <w:rPr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75494C"/>
    <w:pPr>
      <w:tabs>
        <w:tab w:val="right" w:leader="dot" w:pos="9061"/>
      </w:tabs>
      <w:spacing w:after="240"/>
    </w:pPr>
  </w:style>
  <w:style w:type="character" w:styleId="Forte">
    <w:name w:val="Strong"/>
    <w:uiPriority w:val="22"/>
    <w:qFormat/>
    <w:rsid w:val="0075494C"/>
    <w:rPr>
      <w:b/>
      <w:bCs/>
    </w:rPr>
  </w:style>
  <w:style w:type="character" w:styleId="nfase">
    <w:name w:val="Emphasis"/>
    <w:uiPriority w:val="20"/>
    <w:qFormat/>
    <w:rsid w:val="0075494C"/>
    <w:rPr>
      <w:i/>
      <w:iCs/>
    </w:rPr>
  </w:style>
  <w:style w:type="paragraph" w:styleId="CabealhodoSumrio">
    <w:name w:val="TOC Heading"/>
    <w:basedOn w:val="Ttulo1"/>
    <w:next w:val="Normal"/>
    <w:uiPriority w:val="39"/>
    <w:unhideWhenUsed/>
    <w:qFormat/>
    <w:rsid w:val="0075494C"/>
    <w:pPr>
      <w:spacing w:after="120"/>
      <w:ind w:left="1559" w:hanging="1559"/>
      <w:jc w:val="center"/>
      <w:outlineLvl w:val="9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3219</Words>
  <Characters>17385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</dc:creator>
  <cp:keywords/>
  <cp:lastModifiedBy>Avaliador</cp:lastModifiedBy>
  <cp:revision>2</cp:revision>
  <dcterms:created xsi:type="dcterms:W3CDTF">2013-09-08T02:22:00Z</dcterms:created>
  <dcterms:modified xsi:type="dcterms:W3CDTF">2013-09-08T02:22:00Z</dcterms:modified>
</cp:coreProperties>
</file>